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D8" w:rsidRDefault="00E334B5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佛山市顺德区第三人民医院(北</w:t>
      </w:r>
      <w:proofErr w:type="gramStart"/>
      <w:r>
        <w:rPr>
          <w:rFonts w:ascii="黑体" w:eastAsia="黑体" w:hAnsi="黑体" w:hint="eastAsia"/>
          <w:sz w:val="44"/>
          <w:szCs w:val="44"/>
        </w:rPr>
        <w:t>滘</w:t>
      </w:r>
      <w:proofErr w:type="gramEnd"/>
      <w:r>
        <w:rPr>
          <w:rFonts w:ascii="黑体" w:eastAsia="黑体" w:hAnsi="黑体" w:hint="eastAsia"/>
          <w:sz w:val="44"/>
          <w:szCs w:val="44"/>
        </w:rPr>
        <w:t>医院</w:t>
      </w:r>
      <w:r>
        <w:rPr>
          <w:rFonts w:ascii="黑体" w:eastAsia="黑体" w:hAnsi="黑体"/>
          <w:sz w:val="44"/>
          <w:szCs w:val="44"/>
        </w:rPr>
        <w:t>)</w:t>
      </w:r>
    </w:p>
    <w:p w:rsidR="005739D8" w:rsidRDefault="00E334B5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互联网医院</w:t>
      </w:r>
      <w:r w:rsidR="00A40F7A">
        <w:rPr>
          <w:rFonts w:ascii="黑体" w:eastAsia="黑体" w:hAnsi="黑体" w:hint="eastAsia"/>
          <w:sz w:val="44"/>
          <w:szCs w:val="44"/>
        </w:rPr>
        <w:t>信息系统项目</w:t>
      </w:r>
    </w:p>
    <w:p w:rsidR="005739D8" w:rsidRDefault="00E334B5">
      <w:pPr>
        <w:spacing w:line="6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用户需求书</w:t>
      </w:r>
    </w:p>
    <w:p w:rsidR="005739D8" w:rsidRDefault="005739D8">
      <w:pPr>
        <w:jc w:val="center"/>
        <w:rPr>
          <w:b/>
          <w:sz w:val="40"/>
        </w:rPr>
      </w:pPr>
    </w:p>
    <w:p w:rsidR="005739D8" w:rsidRDefault="005739D8" w:rsidP="005C12AA">
      <w:pPr>
        <w:pStyle w:val="a0"/>
        <w:ind w:firstLine="803"/>
        <w:rPr>
          <w:b/>
          <w:sz w:val="40"/>
        </w:rPr>
      </w:pPr>
    </w:p>
    <w:p w:rsidR="005739D8" w:rsidRDefault="00E334B5">
      <w:pPr>
        <w:pStyle w:val="a6"/>
        <w:numPr>
          <w:ilvl w:val="0"/>
          <w:numId w:val="1"/>
        </w:numPr>
        <w:spacing w:line="360" w:lineRule="auto"/>
        <w:ind w:firstLineChars="250" w:firstLine="602"/>
        <w:jc w:val="left"/>
        <w:outlineLvl w:val="0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采购内容</w:t>
      </w:r>
    </w:p>
    <w:tbl>
      <w:tblPr>
        <w:tblStyle w:val="a5"/>
        <w:tblW w:w="0" w:type="auto"/>
        <w:jc w:val="center"/>
        <w:tblLook w:val="04A0"/>
      </w:tblPr>
      <w:tblGrid>
        <w:gridCol w:w="816"/>
        <w:gridCol w:w="3443"/>
        <w:gridCol w:w="2130"/>
      </w:tblGrid>
      <w:tr w:rsidR="005739D8">
        <w:trPr>
          <w:jc w:val="center"/>
        </w:trPr>
        <w:tc>
          <w:tcPr>
            <w:tcW w:w="816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43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业务分类</w:t>
            </w: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模块名称</w:t>
            </w:r>
          </w:p>
        </w:tc>
      </w:tr>
      <w:tr w:rsidR="005739D8">
        <w:trPr>
          <w:jc w:val="center"/>
        </w:trPr>
        <w:tc>
          <w:tcPr>
            <w:tcW w:w="816" w:type="dxa"/>
            <w:vMerge w:val="restart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互联网咨询诊疗平台</w:t>
            </w: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远程问诊</w:t>
            </w:r>
          </w:p>
        </w:tc>
      </w:tr>
      <w:tr w:rsidR="005739D8">
        <w:trPr>
          <w:jc w:val="center"/>
        </w:trPr>
        <w:tc>
          <w:tcPr>
            <w:tcW w:w="816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443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医生接诊功能</w:t>
            </w:r>
          </w:p>
        </w:tc>
      </w:tr>
      <w:tr w:rsidR="005739D8">
        <w:trPr>
          <w:jc w:val="center"/>
        </w:trPr>
        <w:tc>
          <w:tcPr>
            <w:tcW w:w="816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443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特色药事服务</w:t>
            </w:r>
          </w:p>
        </w:tc>
      </w:tr>
      <w:tr w:rsidR="005739D8">
        <w:trPr>
          <w:jc w:val="center"/>
        </w:trPr>
        <w:tc>
          <w:tcPr>
            <w:tcW w:w="816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443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网上购药</w:t>
            </w:r>
          </w:p>
        </w:tc>
      </w:tr>
      <w:tr w:rsidR="005739D8">
        <w:trPr>
          <w:jc w:val="center"/>
        </w:trPr>
        <w:tc>
          <w:tcPr>
            <w:tcW w:w="816" w:type="dxa"/>
            <w:vMerge w:val="restart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443" w:type="dxa"/>
            <w:vMerge w:val="restart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处方流转平台</w:t>
            </w: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电子处方</w:t>
            </w:r>
          </w:p>
        </w:tc>
      </w:tr>
      <w:tr w:rsidR="005739D8">
        <w:trPr>
          <w:jc w:val="center"/>
        </w:trPr>
        <w:tc>
          <w:tcPr>
            <w:tcW w:w="816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443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审方系统</w:t>
            </w:r>
          </w:p>
        </w:tc>
      </w:tr>
      <w:tr w:rsidR="005739D8">
        <w:trPr>
          <w:jc w:val="center"/>
        </w:trPr>
        <w:tc>
          <w:tcPr>
            <w:tcW w:w="816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443" w:type="dxa"/>
            <w:vMerge/>
            <w:vAlign w:val="center"/>
          </w:tcPr>
          <w:p w:rsidR="005739D8" w:rsidRDefault="005739D8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药商管理系统</w:t>
            </w:r>
          </w:p>
        </w:tc>
      </w:tr>
      <w:tr w:rsidR="005739D8">
        <w:trPr>
          <w:jc w:val="center"/>
        </w:trPr>
        <w:tc>
          <w:tcPr>
            <w:tcW w:w="816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后台管理</w:t>
            </w: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后台管理</w:t>
            </w:r>
          </w:p>
        </w:tc>
      </w:tr>
      <w:tr w:rsidR="005739D8">
        <w:trPr>
          <w:jc w:val="center"/>
        </w:trPr>
        <w:tc>
          <w:tcPr>
            <w:tcW w:w="816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个人中心</w:t>
            </w:r>
          </w:p>
        </w:tc>
        <w:tc>
          <w:tcPr>
            <w:tcW w:w="2130" w:type="dxa"/>
            <w:vAlign w:val="center"/>
          </w:tcPr>
          <w:p w:rsidR="005739D8" w:rsidRDefault="00E334B5">
            <w:pPr>
              <w:pStyle w:val="a6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个人中心</w:t>
            </w:r>
          </w:p>
        </w:tc>
      </w:tr>
    </w:tbl>
    <w:p w:rsidR="005739D8" w:rsidRDefault="005739D8">
      <w:pPr>
        <w:pStyle w:val="a6"/>
        <w:spacing w:line="360" w:lineRule="auto"/>
        <w:ind w:firstLineChars="0" w:firstLine="0"/>
        <w:jc w:val="left"/>
        <w:rPr>
          <w:rFonts w:ascii="宋体" w:hAnsi="宋体" w:cs="仿宋"/>
          <w:b/>
          <w:sz w:val="24"/>
          <w:szCs w:val="24"/>
        </w:rPr>
      </w:pPr>
    </w:p>
    <w:p w:rsidR="005739D8" w:rsidRDefault="00E334B5">
      <w:pPr>
        <w:pStyle w:val="a6"/>
        <w:spacing w:line="360" w:lineRule="auto"/>
        <w:ind w:firstLineChars="250" w:firstLine="602"/>
        <w:jc w:val="left"/>
        <w:outlineLvl w:val="0"/>
        <w:rPr>
          <w:rFonts w:ascii="宋体" w:hAnsi="宋体" w:cs="仿宋"/>
          <w:b/>
          <w:sz w:val="24"/>
          <w:szCs w:val="24"/>
        </w:rPr>
      </w:pPr>
      <w:bookmarkStart w:id="0" w:name="_Toc25743434"/>
      <w:bookmarkStart w:id="1" w:name="_Toc47101073"/>
      <w:r>
        <w:rPr>
          <w:rFonts w:ascii="宋体" w:hAnsi="宋体" w:cs="仿宋" w:hint="eastAsia"/>
          <w:b/>
          <w:sz w:val="24"/>
          <w:szCs w:val="24"/>
        </w:rPr>
        <w:t>二、具体项目参数</w:t>
      </w:r>
    </w:p>
    <w:p w:rsidR="005739D8" w:rsidRDefault="00E334B5">
      <w:pPr>
        <w:pStyle w:val="a6"/>
        <w:numPr>
          <w:ilvl w:val="1"/>
          <w:numId w:val="2"/>
        </w:numPr>
        <w:spacing w:before="260" w:after="260" w:line="360" w:lineRule="auto"/>
        <w:ind w:firstLineChars="0"/>
        <w:outlineLvl w:val="1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互联网咨询诊疗平台</w:t>
      </w:r>
      <w:bookmarkEnd w:id="0"/>
      <w:bookmarkEnd w:id="1"/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互联网咨询诊疗平台严格依据国家卫生健康委印发的《互联网诊疗管理办法（试行）》、《互联网医院管理办法（试行）》、《远程医疗服务管理规范（试行）》进行系统功能建设，满足患者就医咨询、常见病慢病线上复诊开方的需求。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远程问诊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远程问诊主要分为免费咨询、互联网诊疗、线上门诊三个不同需求场景功能。</w:t>
      </w: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免费咨询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医院安排全科/方便门诊医生服务患者，患者提交问题,上传病历资料，医生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后台抢单接诊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并提供服务。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线上门诊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医院统一安排专家以坐班形式为患者提供远程问诊服务，并进行后续诊疗服务。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专家问诊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本服务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由医院专家出诊，医生利用自由时间为患者提供问诊服务，并在48小时内回复患者问题，让患者可以随时获取到专业的医疗帮助。适用于复诊患者在线慢病续药、用药咨询、报告单解读以及非急重病症的线上咨询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患者线下就诊记录获取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  <w:t>患者下线上问诊或咨询订单，填写病情信息时，如选择复诊，系统可拉取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患者在本院同科室的就诊记录（输出的记录内容可由医院确定），由患者选取一条就诊记录作为复诊依据。同时支持医生诊疗时复用线下门诊诊断。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智能预问诊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用户就诊前，进入AI预诊阶段，智能采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集用户病情信息，包括主诉、现病史、既往史、过敏史、家族史等，生成预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诊结果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给到医生，节省医生写病历时间，提升医疗效率。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患者评价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患者可对在线提供服务的医生进行评价。后端支持评价审核功能可实现显示、删除、隐藏。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医生主页增强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主页除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显示医生简介、线下门诊排班信息外，还可显示患者关注数（粉丝数）、咨询接诊量，医生定制化服务项目以及患者评价。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咨询展示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患者历史咨询问题，可由管理员筛选脱敏后展示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至公众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区域，供其他患者参考、浏览。</w:t>
            </w:r>
          </w:p>
        </w:tc>
      </w:tr>
    </w:tbl>
    <w:p w:rsidR="005739D8" w:rsidRDefault="005739D8">
      <w:pPr>
        <w:pStyle w:val="a6"/>
        <w:autoSpaceDE w:val="0"/>
        <w:autoSpaceDN w:val="0"/>
        <w:adjustRightInd w:val="0"/>
        <w:snapToGrid w:val="0"/>
        <w:spacing w:line="360" w:lineRule="auto"/>
        <w:ind w:firstLineChars="0" w:firstLine="0"/>
      </w:pPr>
    </w:p>
    <w:p w:rsidR="005739D8" w:rsidRDefault="005739D8">
      <w:pPr>
        <w:pStyle w:val="a6"/>
        <w:autoSpaceDE w:val="0"/>
        <w:autoSpaceDN w:val="0"/>
        <w:adjustRightInd w:val="0"/>
        <w:snapToGrid w:val="0"/>
        <w:spacing w:line="360" w:lineRule="auto"/>
        <w:ind w:firstLineChars="0" w:firstLine="0"/>
        <w:jc w:val="center"/>
      </w:pPr>
    </w:p>
    <w:p w:rsidR="005739D8" w:rsidRDefault="005739D8"/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医生接诊功能</w:t>
      </w:r>
    </w:p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医生在互联网医院上通过PC端/APP端及小程序对患者发出的咨询进行接诊/回复。</w:t>
      </w:r>
    </w:p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问诊订单处理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医生可在线接收患者问诊订单，并与患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者进行视频、电话、图文、语音消息等方式沟通。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电子病历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对接院内电子病历系统，在患者的授权下，医生可查看患者病历，全方位了解患者病情，从而更好的完成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慢病续方等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工作。通过电子病历，医生可在线查看患者历次就诊记录、患者的检查检验结果等。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复诊开方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慢病患者首诊在医院，复诊和续方在线上完成，医生在平台上提供复诊续方服务，药师在互联网医院上参与到患者的慢病用药服务。未来可拓展医疗集团内多点协作。平台实现电子处方流转，全程信息化，保障处方来源合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。医生可直接使用平台开具处方后，处方经平台审核通过后，进行后续流程。医生通过平台开具处方，经机器审核+人工审核通过后，下发至线下药房。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电子处方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提供合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电子处方，支持药商端打印，提供医生签名，及用药指导。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处方修改及作废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医生提交处方后，可以针对开出的处方进行修改和作废，平台留存修改内容及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修改记录等信息，用于处方追溯。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CA认证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通过与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院内CA认证对接可实现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电子签名CA认证。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在线写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病历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医生可针对问诊订单为患者开具线上病历，病历可同步给患者，并自动加入患者在平台的健康档案中，可在智能预问诊功能生成病历基础上进行修改，提升工作效率。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处方管理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医生可在线管理自己开具的线上处方，支持处方模板管理、药品目录查询、处方跟踪、处方签名管理。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病历管理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医生可在线管理自己开具的线上病历，当有遗漏时，系统可推送病历补写、完善病历的提醒消息。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在线分诊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视患者病情，对于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对症的患者医生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可分诊给其他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科室的医生，并推荐给患者。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其他诊疗服务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医生可在问诊过程中为有需要的患者提供复诊提醒、挂号链接等服务。</w:t>
            </w:r>
          </w:p>
        </w:tc>
      </w:tr>
    </w:tbl>
    <w:p w:rsidR="005739D8" w:rsidRDefault="005739D8">
      <w:pPr>
        <w:spacing w:line="360" w:lineRule="auto"/>
        <w:jc w:val="center"/>
        <w:rPr>
          <w:rFonts w:ascii="仿宋_GB2312" w:eastAsia="仿宋_GB2312" w:hAnsiTheme="minorEastAsia"/>
          <w:sz w:val="28"/>
          <w:szCs w:val="28"/>
        </w:rPr>
      </w:pPr>
    </w:p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特色药事服务</w:t>
      </w:r>
    </w:p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药师门诊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提供官方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药师线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上服务入口，响应国家政策，突显药师角色价值，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药师线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上解答用药问题、提醒患者进行慢病续药，培养患者忠诚度，提升患者满意度，既保障公众的用药安全又同时有效体现医院药师的药事服务价值。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用药说明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购药订单签收后，平台推送用药说明，点击后跳转用药说明页，查看详细用药信息，同时可配置药师门诊链接入口。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智能用药指导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提供丰富的用药知识库，根据处方信息为患者生产智能用药方案，提供药品说明、用药禁忌、不良反应、用药知识等信息，帮助患者科学用药，消除服药困惑。</w:t>
            </w:r>
          </w:p>
        </w:tc>
      </w:tr>
    </w:tbl>
    <w:p w:rsidR="005739D8" w:rsidRDefault="00E334B5">
      <w:pPr>
        <w:spacing w:line="360" w:lineRule="auto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br w:type="page"/>
      </w:r>
    </w:p>
    <w:p w:rsidR="005739D8" w:rsidRDefault="005739D8">
      <w:pPr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网上购药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患者接收到处方通知后，需及时确认处方，保障患者了解支付、取药等处方相关信息。患者确认并完成缴费后，处方通过平台下发至医院合作药房。</w:t>
      </w: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患者用药知情确认：平台告知患者处方相关事宜，患者知晓外配用药流程后，在平台确认并付费。</w:t>
      </w:r>
    </w:p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物流配送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患者填写收货地址，网上购药、药品送药上门；并提供在物流保价、发货通知、货到付款等服务。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到店自取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应用位置信息服务，将患者附近药店一并呈现，方便患者自由选择药店取药，内建地图导航键，协助患者找到药店，并提供到店付款等服务。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药店导航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获取药店地址为患者选择药店取药时提供更多信息参考，并提供地图导航功能，方便患者找到药店。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申请发票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视药商情况，支持在线申请发票，支持普票、电子发票。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提醒发货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对于物流配送的订单，如超过24小时未发货，患者可以主动提醒药店发货。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安全购药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支持与药商ERP对接获取药品批号并展示给患者方便患者核验；同时对于用药量超过90天的，在患者和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医生端会增加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提示、校验。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物流信息查询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对于物流配送的订单支持物流信息查询。</w:t>
            </w:r>
          </w:p>
        </w:tc>
      </w:tr>
    </w:tbl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pStyle w:val="a6"/>
        <w:numPr>
          <w:ilvl w:val="1"/>
          <w:numId w:val="2"/>
        </w:numPr>
        <w:spacing w:before="260" w:after="260" w:line="360" w:lineRule="auto"/>
        <w:ind w:firstLineChars="0"/>
        <w:outlineLvl w:val="1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处方流转平台</w:t>
      </w:r>
    </w:p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电子处方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经平台流转的处方，自动生成院外电子处方。院外电子处方遵照《处方管理办法》及院内相关处方规定，与院内处方规则及格式保持一致，以保证处方安全。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处方流转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处方外流支持病人自助打印、电子文件获取。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快速处方续方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平台为医生提供了在线续方的功能。对于病情稳定的慢病患者，医生可以通过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续方功能快速帮助患者开药，提高医生的工作效率。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手写电子签名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提供医生端手写处方签名入口，医生可在线生成自己专属处方签名。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中药处方支持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平台内置中药处方库，可以支持饮片、配方颗粒剂、膏方等多种中药制剂的开方操作。</w:t>
            </w:r>
          </w:p>
        </w:tc>
      </w:tr>
    </w:tbl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审方系统</w:t>
      </w:r>
    </w:p>
    <w:p w:rsidR="005739D8" w:rsidRDefault="005739D8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平台响应国家处方审核前置规定，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构建双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审方机制，即流转平台的处方经合理用药系统审核后，再由医院认可的执业药师团队人工复查审核，以保障处方审核效率及合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性。审方系统支持西药处方和中药处方合理用药审核，包括诊断合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、用法用量合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、配伍禁忌等规则，可灵活配置审方规则。处方审核通过后，在进行划价付费、调配等后续流程。医疗机构可定期对处方进行综合统计分析，以达到合理用药，用药监测、管理的目的。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在线审方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平台为药师审方提供在线审方终端系统，保障处方审核效率和合理合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性。审方终端系统包括处方审核通知、在线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处方审核工具、处方点评系统、监管系统等模块，满足医疗机构审方要求及监管要求。平台搭建执业药师审方中心，支持远程集中处方审核，节约医疗机构处方审核人力成本。</w:t>
            </w:r>
          </w:p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医师开方后或合理用药系统预审不通过的处方，药师将收到处方审核提醒消息。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审核记录留存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平台实时记录药师审核处方信息，包括审核结果、审核备注、修改记录、药师信息、药师签名等以确保审核过程可追溯。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药师签名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审核结果需补充审核人员已在执业机构备案的电子签名，以确保处方审核安全及合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审核任务智能分配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系统可自动判断药师是否在线，当药师处于在线状态情况，自动推送审方任务，供药师审方。当有一位药师已在审核一条处方单信息时，系统将该处方单锁定为独占模式，防止其他在线药师对该处方单进行审方操作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医生药师实时交流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审方过程中医生、药师可便捷实时在线交流沟通，提高处方审核效率。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患者信息查看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显示就诊卡号，方便药师在his查询患者病历档案。支持新增患者历史处方记录，没对接his的情况下，查看平台的历史处方。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问题处方查询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对于药师审核中发现的问题处方，可单独汇总显示，便于定期处方点评工作的开展。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工作量统计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汇总审方处方总数、药师审核处方占所有处方比例。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处方监控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可监控处方提交数量、审核数量、审核质量等实时指标，实现处方监管。</w:t>
            </w:r>
          </w:p>
        </w:tc>
      </w:tr>
    </w:tbl>
    <w:p w:rsidR="005739D8" w:rsidRDefault="005739D8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5739D8" w:rsidRDefault="005739D8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5739D8" w:rsidRDefault="00E334B5">
      <w:pPr>
        <w:numPr>
          <w:ilvl w:val="2"/>
          <w:numId w:val="2"/>
        </w:numPr>
        <w:spacing w:line="360" w:lineRule="auto"/>
        <w:outlineLvl w:val="2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药商管理系统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药商管理系统为承接处方流转的药店/药房提供一个后台管理系统，使得药师及药店工作人员更加高效地对处方和订单进行审核及操作。</w:t>
      </w:r>
    </w:p>
    <w:p w:rsidR="005739D8" w:rsidRDefault="005739D8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功能名称</w:t>
            </w:r>
          </w:p>
        </w:tc>
        <w:tc>
          <w:tcPr>
            <w:tcW w:w="5009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功能简介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订单管理</w:t>
            </w:r>
          </w:p>
        </w:tc>
        <w:tc>
          <w:tcPr>
            <w:tcW w:w="5009" w:type="dxa"/>
          </w:tcPr>
          <w:p w:rsidR="005739D8" w:rsidRDefault="00E334B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提供药品订单的审方、发药、退款、处方查询、处方打印、订单操作记录等服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务。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自助下单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系统可对接各类医药物流企业，支持通过平台自助生成快递单，药店端点击“发药”，即可下快递配送单给医药物流企业，由物流人员上门取货，进行物流配送订单管理。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订单拆单提醒</w:t>
            </w:r>
            <w:proofErr w:type="gramEnd"/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对于需要分拆订单，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提供拆单提醒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，方便药商处理订单时，能快速辨识到哪些订单是拆单。</w:t>
            </w:r>
          </w:p>
        </w:tc>
      </w:tr>
      <w:tr w:rsidR="005739D8">
        <w:tc>
          <w:tcPr>
            <w:tcW w:w="1145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药品管理</w:t>
            </w:r>
          </w:p>
        </w:tc>
        <w:tc>
          <w:tcPr>
            <w:tcW w:w="5009" w:type="dxa"/>
          </w:tcPr>
          <w:p w:rsidR="005739D8" w:rsidRDefault="00E334B5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提供药品的上下架、查询、药品目录导出等服务。</w:t>
            </w:r>
          </w:p>
        </w:tc>
      </w:tr>
    </w:tbl>
    <w:p w:rsidR="005739D8" w:rsidRDefault="00E334B5">
      <w:pPr>
        <w:pStyle w:val="a6"/>
        <w:numPr>
          <w:ilvl w:val="1"/>
          <w:numId w:val="2"/>
        </w:numPr>
        <w:spacing w:before="260" w:after="260" w:line="360" w:lineRule="auto"/>
        <w:ind w:firstLineChars="0"/>
        <w:outlineLvl w:val="1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后台管理</w:t>
      </w:r>
    </w:p>
    <w:p w:rsidR="005739D8" w:rsidRDefault="00E334B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医院管理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端提供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互联网医院所有基础配置管理、账务管理、统计分析功能，便于医院更好地运作本系统。</w:t>
      </w: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功能名称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功能简介</w:t>
            </w: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医院管理员可在系统管理栏目，设置后台角色权限管理（权限授权粒度可到按钮级）、账户角色授权、查看后台操作日志、对接功能的启闭等运维操作。</w:t>
            </w:r>
          </w:p>
          <w:p w:rsidR="005739D8" w:rsidRDefault="00573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数据维护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医院可进行医院、院区、科室、医生的信息维护，可对线上线下门诊进行排班维护（如没有对接同步的情况下），还可以手工设置停诊、同步信息监管数据。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消息管理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在消息管理栏目，医院可以设置各类消息的模板，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查询给至移动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终端的各类推送消息。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平台支持就诊人管理、注册用户（患者终端）管理、支持黑名单管理。</w:t>
            </w: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▲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  <w:sz w:val="24"/>
                <w:szCs w:val="24"/>
              </w:rPr>
              <w:t>统计分析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系统提供统计分析功能、可自动定时统计每日注册人数、预约量、交易笔数、满意度结果、转诊、物料等数据，供医院管理层分析决策。</w:t>
            </w: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业务处理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对于各业务处理环节，需要在管理端进行的审核批示环节如复诊预约审核、病例复印申请等，可在业务处理栏目中找到相应功能点。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挂号管理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可根据就诊科室、就诊人、医生、就诊日期、支付状态、挂号状态、订单创建时间等多种条件进行挂号记录查询、导出操作，并可查看具体挂号记录的详情信息。</w:t>
            </w: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订单管理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根据用户手机号、创建设时间范围、订单流水号、交易状态、业务类别、商户交易流水号、渠道交易流水号、对账标识、业务ID、交易结果、优惠券类型、支付渠道等多种条件组合进行订单记录查询、详情查看、订单轨迹查看、退款、导出操作。</w:t>
            </w: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数据统计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支持统计注册人数、预约挂号量、自助缴费量、支付总金额、下载量等运营指标项，支持以饼图、柱状图、折线图等进行运营分析。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739D8" w:rsidRDefault="00E334B5">
      <w:pPr>
        <w:pStyle w:val="a6"/>
        <w:numPr>
          <w:ilvl w:val="1"/>
          <w:numId w:val="2"/>
        </w:numPr>
        <w:spacing w:before="260" w:after="260" w:line="360" w:lineRule="auto"/>
        <w:ind w:firstLineChars="0"/>
        <w:outlineLvl w:val="1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个人中心</w:t>
      </w:r>
    </w:p>
    <w:p w:rsidR="005739D8" w:rsidRDefault="00E334B5">
      <w:pPr>
        <w:pStyle w:val="a6"/>
        <w:spacing w:before="260" w:after="260" w:line="360" w:lineRule="auto"/>
        <w:ind w:firstLineChars="0" w:firstLine="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ajorEastAsia" w:hint="eastAsia"/>
          <w:bCs/>
          <w:sz w:val="28"/>
          <w:szCs w:val="28"/>
        </w:rPr>
        <w:lastRenderedPageBreak/>
        <w:t xml:space="preserve">   </w:t>
      </w:r>
      <w:r>
        <w:rPr>
          <w:rFonts w:ascii="仿宋_GB2312" w:eastAsia="仿宋_GB2312" w:hAnsiTheme="majorEastAsia" w:hint="eastAsia"/>
          <w:bCs/>
          <w:sz w:val="24"/>
          <w:szCs w:val="24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为用户提供个人中心，对就诊人、订单、关注医生、收货地址等内容进行管理。</w:t>
      </w:r>
    </w:p>
    <w:tbl>
      <w:tblPr>
        <w:tblStyle w:val="a5"/>
        <w:tblW w:w="0" w:type="auto"/>
        <w:tblLook w:val="04A0"/>
      </w:tblPr>
      <w:tblGrid>
        <w:gridCol w:w="1145"/>
        <w:gridCol w:w="2366"/>
        <w:gridCol w:w="5009"/>
      </w:tblGrid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功能名称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功能简介</w:t>
            </w: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就诊人管理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用户可添加相关的就诊人，添加时需选择就诊人与本人关系、就诊人姓名、身份证号码、手机号码。</w:t>
            </w:r>
          </w:p>
          <w:p w:rsidR="005739D8" w:rsidRDefault="00573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订单中心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查看用户在平台的各类业务订单数据。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我的关注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该用户关注的医生列表，同时可点击进入医生主页查看详情。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收货地址管理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患者可管理自己的收货地址，方便网上购药时使用。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意见反馈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患者可在线进行意见反馈，通过填写投诉对象，投诉科室，投诉事项等信息提交意见。医院管理人员可在管理后台进行意见查看、分类，同时在线回复患者投诉结果。</w:t>
            </w:r>
          </w:p>
          <w:p w:rsidR="005739D8" w:rsidRDefault="005739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39D8">
        <w:tc>
          <w:tcPr>
            <w:tcW w:w="1145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366" w:type="dxa"/>
            <w:vAlign w:val="center"/>
          </w:tcPr>
          <w:p w:rsidR="005739D8" w:rsidRDefault="00E334B5">
            <w:pPr>
              <w:pStyle w:val="a6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微信在线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客服</w:t>
            </w:r>
          </w:p>
        </w:tc>
        <w:tc>
          <w:tcPr>
            <w:tcW w:w="5009" w:type="dxa"/>
            <w:vAlign w:val="center"/>
          </w:tcPr>
          <w:p w:rsidR="005739D8" w:rsidRDefault="00E334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对接微信小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程序自带的客服能力，医院端可以通过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微信客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服对小程序上留言的患者进行解答和分诊。</w:t>
            </w:r>
          </w:p>
        </w:tc>
      </w:tr>
    </w:tbl>
    <w:p w:rsidR="005739D8" w:rsidRDefault="005739D8">
      <w:pPr>
        <w:pStyle w:val="a6"/>
        <w:spacing w:before="260" w:after="260" w:line="360" w:lineRule="auto"/>
        <w:ind w:firstLineChars="0" w:firstLine="0"/>
        <w:rPr>
          <w:rFonts w:ascii="仿宋_GB2312" w:eastAsia="仿宋_GB2312" w:hAnsiTheme="majorEastAsia"/>
          <w:b/>
          <w:sz w:val="28"/>
          <w:szCs w:val="28"/>
        </w:rPr>
      </w:pPr>
    </w:p>
    <w:p w:rsidR="005C12AA" w:rsidRDefault="005C12AA">
      <w:pPr>
        <w:pStyle w:val="a6"/>
        <w:spacing w:before="260" w:after="260" w:line="360" w:lineRule="auto"/>
        <w:ind w:firstLineChars="0" w:firstLine="0"/>
        <w:rPr>
          <w:rFonts w:ascii="仿宋_GB2312" w:eastAsia="仿宋_GB2312" w:hAnsiTheme="majorEastAsia"/>
          <w:b/>
          <w:sz w:val="28"/>
          <w:szCs w:val="28"/>
        </w:rPr>
      </w:pPr>
    </w:p>
    <w:p w:rsidR="005C12AA" w:rsidRDefault="005C12AA">
      <w:pPr>
        <w:pStyle w:val="a6"/>
        <w:spacing w:before="260" w:after="260" w:line="360" w:lineRule="auto"/>
        <w:ind w:firstLineChars="0" w:firstLine="0"/>
        <w:rPr>
          <w:rFonts w:ascii="仿宋_GB2312" w:eastAsia="仿宋_GB2312" w:hAnsiTheme="majorEastAsia"/>
          <w:b/>
          <w:sz w:val="28"/>
          <w:szCs w:val="28"/>
        </w:rPr>
      </w:pPr>
    </w:p>
    <w:p w:rsidR="005C12AA" w:rsidRDefault="005C12AA">
      <w:pPr>
        <w:pStyle w:val="a6"/>
        <w:spacing w:before="260" w:after="260" w:line="360" w:lineRule="auto"/>
        <w:ind w:firstLineChars="0" w:firstLine="0"/>
        <w:rPr>
          <w:rFonts w:ascii="仿宋_GB2312" w:eastAsia="仿宋_GB2312" w:hAnsiTheme="majorEastAsia"/>
          <w:b/>
          <w:sz w:val="28"/>
          <w:szCs w:val="28"/>
        </w:rPr>
      </w:pPr>
    </w:p>
    <w:p w:rsidR="005739D8" w:rsidRDefault="00E334B5">
      <w:pPr>
        <w:pStyle w:val="a6"/>
        <w:spacing w:line="360" w:lineRule="auto"/>
        <w:ind w:firstLineChars="250" w:firstLine="602"/>
        <w:jc w:val="left"/>
        <w:outlineLvl w:val="0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三、技术评分参数</w:t>
      </w:r>
    </w:p>
    <w:tbl>
      <w:tblPr>
        <w:tblW w:w="9260" w:type="dxa"/>
        <w:tblLook w:val="04A0"/>
      </w:tblPr>
      <w:tblGrid>
        <w:gridCol w:w="675"/>
        <w:gridCol w:w="1560"/>
        <w:gridCol w:w="6237"/>
        <w:gridCol w:w="788"/>
      </w:tblGrid>
      <w:tr w:rsidR="005739D8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评审内容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评审细则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分值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技术响应情况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投标文件对技术指标的响应程度：“▲号”部分不满足每项扣5分，非“▲号”部分不满足每项扣2分，扣完为止。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整体设计方案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文件方案详细、描述的系统功能完整、清楚，对项目有完善的理解说明，能详细说明整体解决方案的实施原理及技术可行性，能明确说明与第三方系统详细对接方案。根据投标人所提供的项目整体设计技术方案综合评审，最优的得10分，依次递减2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信息及信息安全资质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1.具有软件著作权证书：</w:t>
            </w:r>
          </w:p>
          <w:p w:rsidR="005739D8" w:rsidRDefault="00E334B5">
            <w:pPr>
              <w:pStyle w:val="a0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以下要求的软件著作权登记证证书的软件名称无需与下述完全一致，但内容类别需相似，每提供一项得0.5分，最高4分。 </w:t>
            </w:r>
          </w:p>
          <w:p w:rsidR="005739D8" w:rsidRDefault="00E334B5">
            <w:pPr>
              <w:pStyle w:val="a0"/>
              <w:ind w:firstLineChars="0" w:firstLine="0"/>
            </w:pPr>
            <w:r>
              <w:rPr>
                <w:rFonts w:ascii="仿宋" w:eastAsia="仿宋" w:hAnsi="仿宋" w:cs="仿宋" w:hint="eastAsia"/>
              </w:rPr>
              <w:t>①线上运营管理软件； ②医生版APP； ③</w:t>
            </w:r>
            <w:proofErr w:type="gramStart"/>
            <w:r>
              <w:rPr>
                <w:rFonts w:ascii="仿宋" w:eastAsia="仿宋" w:hAnsi="仿宋" w:cs="仿宋" w:hint="eastAsia"/>
              </w:rPr>
              <w:t>药师版</w:t>
            </w:r>
            <w:proofErr w:type="gramEnd"/>
            <w:r>
              <w:rPr>
                <w:rFonts w:ascii="仿宋" w:eastAsia="仿宋" w:hAnsi="仿宋" w:cs="仿宋" w:hint="eastAsia"/>
              </w:rPr>
              <w:t>APP； ④用户资讯平台；⑤药房后台管理系统； ⑥医生工作站运维系统； ⑦用药医嘱系统； ⑧医生/药师工作站运维系统； ⑨服务云平台； ⑩小程序支付结算软件；</w:t>
            </w:r>
          </w:p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2.具有以下管理体系认证证书每个得3分，最高得6分。</w:t>
            </w:r>
          </w:p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高新技术企业证书</w:t>
            </w:r>
          </w:p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信息技术服务管理体系认证证书</w:t>
            </w:r>
          </w:p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信息安全管理体系认证证书</w:t>
            </w:r>
          </w:p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需提供相关证书复印件加盖公章，原件备查。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项目管理及实施方案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评价投标人对项目组织管理和实施方合理性、可行性和项目实施进度工期情况。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1、提供合理的项目实施及管理、实施计划、质量控制方案的，最优的得10分，依次递减1分。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2、仅提供项目实施及管理方案的，得2分。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售后服务方案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据投标人提供售后服务方案（应包括服务维护体系、日常检测保养、响应时间、故障处理、应急维修承诺），明确免费维护期结束后维护费收取标准等，综合评审，最高得5分，依次递减1分。未提供详细的售后服务方案不得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培训方案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根据投标人提供培训方案综合评审,最高得5分，依次递减1分。未提供详细的培训方案不得分。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5739D8">
        <w:trPr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</w:tr>
    </w:tbl>
    <w:p w:rsidR="005739D8" w:rsidRDefault="005739D8">
      <w:pPr>
        <w:pStyle w:val="a6"/>
        <w:spacing w:line="360" w:lineRule="auto"/>
        <w:ind w:firstLineChars="250" w:firstLine="602"/>
        <w:jc w:val="left"/>
        <w:rPr>
          <w:rFonts w:ascii="宋体" w:hAnsi="宋体" w:cs="仿宋"/>
          <w:b/>
          <w:sz w:val="24"/>
          <w:szCs w:val="24"/>
        </w:rPr>
      </w:pPr>
    </w:p>
    <w:p w:rsidR="005C12AA" w:rsidRDefault="005C12AA">
      <w:pPr>
        <w:pStyle w:val="a6"/>
        <w:spacing w:line="360" w:lineRule="auto"/>
        <w:ind w:firstLineChars="250" w:firstLine="602"/>
        <w:jc w:val="left"/>
        <w:rPr>
          <w:rFonts w:ascii="宋体" w:hAnsi="宋体" w:cs="仿宋"/>
          <w:b/>
          <w:sz w:val="24"/>
          <w:szCs w:val="24"/>
        </w:rPr>
      </w:pPr>
    </w:p>
    <w:p w:rsidR="005C12AA" w:rsidRDefault="005C12AA">
      <w:pPr>
        <w:pStyle w:val="a6"/>
        <w:spacing w:line="360" w:lineRule="auto"/>
        <w:ind w:firstLineChars="250" w:firstLine="602"/>
        <w:jc w:val="left"/>
        <w:rPr>
          <w:rFonts w:ascii="宋体" w:hAnsi="宋体" w:cs="仿宋"/>
          <w:b/>
          <w:sz w:val="24"/>
          <w:szCs w:val="24"/>
        </w:rPr>
      </w:pPr>
    </w:p>
    <w:p w:rsidR="005C12AA" w:rsidRDefault="005C12AA">
      <w:pPr>
        <w:pStyle w:val="a6"/>
        <w:spacing w:line="360" w:lineRule="auto"/>
        <w:ind w:firstLineChars="250" w:firstLine="602"/>
        <w:jc w:val="left"/>
        <w:rPr>
          <w:rFonts w:ascii="宋体" w:hAnsi="宋体" w:cs="仿宋"/>
          <w:b/>
          <w:sz w:val="24"/>
          <w:szCs w:val="24"/>
        </w:rPr>
      </w:pPr>
    </w:p>
    <w:p w:rsidR="005739D8" w:rsidRDefault="00E334B5">
      <w:pPr>
        <w:pStyle w:val="a6"/>
        <w:numPr>
          <w:ilvl w:val="0"/>
          <w:numId w:val="3"/>
        </w:numPr>
        <w:spacing w:line="360" w:lineRule="auto"/>
        <w:ind w:firstLineChars="0" w:firstLine="0"/>
        <w:jc w:val="left"/>
        <w:outlineLvl w:val="0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lastRenderedPageBreak/>
        <w:t>商务评分参数</w:t>
      </w:r>
    </w:p>
    <w:tbl>
      <w:tblPr>
        <w:tblW w:w="9260" w:type="dxa"/>
        <w:tblLook w:val="04A0"/>
      </w:tblPr>
      <w:tblGrid>
        <w:gridCol w:w="675"/>
        <w:gridCol w:w="1560"/>
        <w:gridCol w:w="6237"/>
        <w:gridCol w:w="788"/>
      </w:tblGrid>
      <w:tr w:rsidR="005739D8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评审内容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评审细则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分值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投标人综合实力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投标人有信息系统安全等级保护备案证明，提供信息系统安全等级保护备案证明第三级得10分，第二级得5分，第一级得1分，未提供或不完整的本项得0分。（提供证明文件复印件）。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6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投标人资质能力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对投标人具有以下证书进行评分。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1.具有省级卫生系统主管部门批文，得4分；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2.具有省级新应用技术应用证明证书（药学相关），得3分；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3.具有互联网药品信息服务资格证，得3分；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投标人本地化服务支撑力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投标人在广东有稳定的技术服务人员: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1、有10名或以上且至少有1名具备PMP项目经理资格的技术服务人员得10分；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2、有10名以下，5名以上（包括5名）技术服务人员得5分；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3、有5名以下、1名以上（包括1名）技术服务人员得2分；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4、未提供不得分。（投标人提供技术服务人员在广东省内缴纳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社保证明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材料）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7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同类项目业绩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提供近三年内的案例（互联网医院相关信息化建设项目的案例），案例≥5个，得10分；5＞案例≥3，得5分；3＞案例≥1，得2分；未提供不得分。（注：以与医疗机构合同协议关键页复印件或中选通知书复印件为准。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5739D8">
        <w:trPr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9D8" w:rsidRDefault="00E334B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</w:p>
        </w:tc>
      </w:tr>
    </w:tbl>
    <w:p w:rsidR="005739D8" w:rsidRDefault="005739D8">
      <w:pPr>
        <w:pStyle w:val="a6"/>
        <w:spacing w:line="360" w:lineRule="auto"/>
        <w:ind w:firstLineChars="0" w:firstLine="0"/>
        <w:jc w:val="left"/>
        <w:outlineLvl w:val="0"/>
        <w:rPr>
          <w:rFonts w:ascii="宋体" w:hAnsi="宋体" w:cs="仿宋"/>
          <w:b/>
          <w:sz w:val="24"/>
          <w:szCs w:val="24"/>
        </w:rPr>
      </w:pPr>
    </w:p>
    <w:p w:rsidR="005C12AA" w:rsidRDefault="005C12AA">
      <w:pPr>
        <w:pStyle w:val="a6"/>
        <w:spacing w:line="360" w:lineRule="auto"/>
        <w:ind w:firstLineChars="0" w:firstLine="0"/>
        <w:jc w:val="left"/>
        <w:outlineLvl w:val="0"/>
        <w:rPr>
          <w:rFonts w:ascii="宋体" w:hAnsi="宋体" w:cs="仿宋"/>
          <w:b/>
          <w:sz w:val="24"/>
          <w:szCs w:val="24"/>
        </w:rPr>
      </w:pPr>
    </w:p>
    <w:p w:rsidR="005C12AA" w:rsidRDefault="005C12AA">
      <w:pPr>
        <w:pStyle w:val="a6"/>
        <w:spacing w:line="360" w:lineRule="auto"/>
        <w:ind w:firstLineChars="0" w:firstLine="0"/>
        <w:jc w:val="left"/>
        <w:outlineLvl w:val="0"/>
        <w:rPr>
          <w:rFonts w:ascii="宋体" w:hAnsi="宋体" w:cs="仿宋"/>
          <w:b/>
          <w:sz w:val="24"/>
          <w:szCs w:val="24"/>
        </w:rPr>
      </w:pPr>
    </w:p>
    <w:p w:rsidR="005739D8" w:rsidRDefault="00E334B5">
      <w:pPr>
        <w:pStyle w:val="a6"/>
        <w:numPr>
          <w:ilvl w:val="0"/>
          <w:numId w:val="3"/>
        </w:numPr>
        <w:spacing w:line="360" w:lineRule="auto"/>
        <w:ind w:firstLineChars="0" w:firstLine="0"/>
        <w:jc w:val="left"/>
        <w:outlineLvl w:val="0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价格评分参数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850"/>
        <w:gridCol w:w="7264"/>
      </w:tblGrid>
      <w:tr w:rsidR="005739D8" w:rsidTr="005C12AA">
        <w:trPr>
          <w:trHeight w:val="3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评分标准</w:t>
            </w:r>
          </w:p>
        </w:tc>
      </w:tr>
      <w:tr w:rsidR="005739D8" w:rsidTr="005C12AA">
        <w:trPr>
          <w:trHeight w:val="915"/>
        </w:trPr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价格分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D8" w:rsidRDefault="00E334B5">
            <w:pPr>
              <w:autoSpaceDE w:val="0"/>
              <w:autoSpaceDN w:val="0"/>
              <w:spacing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有效投标单位去掉最高报价和最低报价后，将其余各有效投标单位报价的算术平均值作为评标基准价。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供应商报价等于基准值时计为满分10分，不等于基准价的供应商得分以下列公式计算得（即每高于基准价1%扣0.2分，每低于基准价1%扣0.1分，扣至0分为止，得分四舍五入保留两位小数）。</w:t>
            </w:r>
          </w:p>
          <w:p w:rsidR="005739D8" w:rsidRDefault="00E334B5">
            <w:pPr>
              <w:autoSpaceDE w:val="0"/>
              <w:autoSpaceDN w:val="0"/>
              <w:spacing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3. 偏差率计算公式：100%×（投标单位报价-基准价）/基准价。 </w:t>
            </w:r>
          </w:p>
        </w:tc>
      </w:tr>
    </w:tbl>
    <w:p w:rsidR="005739D8" w:rsidRDefault="005739D8">
      <w:pPr>
        <w:pStyle w:val="a6"/>
        <w:spacing w:line="360" w:lineRule="auto"/>
        <w:ind w:firstLineChars="0" w:firstLine="0"/>
        <w:jc w:val="left"/>
        <w:outlineLvl w:val="0"/>
        <w:rPr>
          <w:rFonts w:ascii="宋体" w:hAnsi="宋体" w:cs="仿宋"/>
          <w:b/>
          <w:sz w:val="24"/>
          <w:szCs w:val="24"/>
        </w:rPr>
      </w:pPr>
    </w:p>
    <w:sectPr w:rsidR="005739D8" w:rsidSect="0057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E0" w:rsidRDefault="00DF31E0" w:rsidP="005C12AA">
      <w:r>
        <w:separator/>
      </w:r>
    </w:p>
  </w:endnote>
  <w:endnote w:type="continuationSeparator" w:id="0">
    <w:p w:rsidR="00DF31E0" w:rsidRDefault="00DF31E0" w:rsidP="005C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E0" w:rsidRDefault="00DF31E0" w:rsidP="005C12AA">
      <w:r>
        <w:separator/>
      </w:r>
    </w:p>
  </w:footnote>
  <w:footnote w:type="continuationSeparator" w:id="0">
    <w:p w:rsidR="00DF31E0" w:rsidRDefault="00DF31E0" w:rsidP="005C1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8ED6"/>
    <w:multiLevelType w:val="singleLevel"/>
    <w:tmpl w:val="15F98E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FC7ED7"/>
    <w:multiLevelType w:val="singleLevel"/>
    <w:tmpl w:val="3DFC7ED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0112FD"/>
    <w:multiLevelType w:val="multilevel"/>
    <w:tmpl w:val="5E0112F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  <w:lvlOverride w:ilvl="0">
      <w:lvl w:ilvl="0" w:tentative="1">
        <w:start w:val="1"/>
        <w:numFmt w:val="decimal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194A27"/>
    <w:rsid w:val="005739D8"/>
    <w:rsid w:val="005C12AA"/>
    <w:rsid w:val="008C5EC6"/>
    <w:rsid w:val="00A40F7A"/>
    <w:rsid w:val="00DF31E0"/>
    <w:rsid w:val="00E334B5"/>
    <w:rsid w:val="01DD0298"/>
    <w:rsid w:val="02651DAD"/>
    <w:rsid w:val="02C773B9"/>
    <w:rsid w:val="03BA33F8"/>
    <w:rsid w:val="05C3080A"/>
    <w:rsid w:val="06842E44"/>
    <w:rsid w:val="079605DB"/>
    <w:rsid w:val="07D06404"/>
    <w:rsid w:val="0A0058D8"/>
    <w:rsid w:val="0AA177F1"/>
    <w:rsid w:val="0B560A3F"/>
    <w:rsid w:val="0C5069C1"/>
    <w:rsid w:val="0DE570E0"/>
    <w:rsid w:val="0E484424"/>
    <w:rsid w:val="0E68266A"/>
    <w:rsid w:val="105312B6"/>
    <w:rsid w:val="11B460DE"/>
    <w:rsid w:val="123A1035"/>
    <w:rsid w:val="12782D1C"/>
    <w:rsid w:val="12C444DB"/>
    <w:rsid w:val="137E6FF4"/>
    <w:rsid w:val="15B546D0"/>
    <w:rsid w:val="15B930C4"/>
    <w:rsid w:val="171C0853"/>
    <w:rsid w:val="17CF5DC9"/>
    <w:rsid w:val="18850DAA"/>
    <w:rsid w:val="1A404C99"/>
    <w:rsid w:val="1BEE3571"/>
    <w:rsid w:val="1D6926D9"/>
    <w:rsid w:val="1D9858D9"/>
    <w:rsid w:val="1DBE180B"/>
    <w:rsid w:val="1DF94E51"/>
    <w:rsid w:val="20EC53DE"/>
    <w:rsid w:val="222154C4"/>
    <w:rsid w:val="22AD673A"/>
    <w:rsid w:val="23950EC6"/>
    <w:rsid w:val="262E378A"/>
    <w:rsid w:val="2EAA627A"/>
    <w:rsid w:val="2EE22B95"/>
    <w:rsid w:val="31B578C2"/>
    <w:rsid w:val="32194A27"/>
    <w:rsid w:val="3255452D"/>
    <w:rsid w:val="33A17238"/>
    <w:rsid w:val="36EE524D"/>
    <w:rsid w:val="39CB1B7A"/>
    <w:rsid w:val="3A5350AF"/>
    <w:rsid w:val="3BF05953"/>
    <w:rsid w:val="3C8175E5"/>
    <w:rsid w:val="3F253A72"/>
    <w:rsid w:val="3F80032A"/>
    <w:rsid w:val="3FA725A7"/>
    <w:rsid w:val="409C0558"/>
    <w:rsid w:val="43090F1E"/>
    <w:rsid w:val="434444C3"/>
    <w:rsid w:val="4348528F"/>
    <w:rsid w:val="43FF074F"/>
    <w:rsid w:val="44E44D18"/>
    <w:rsid w:val="46D57760"/>
    <w:rsid w:val="47243F1B"/>
    <w:rsid w:val="4B48462B"/>
    <w:rsid w:val="4B6318E1"/>
    <w:rsid w:val="4C7D3447"/>
    <w:rsid w:val="4E1C0AFC"/>
    <w:rsid w:val="4EE11922"/>
    <w:rsid w:val="4F0E0709"/>
    <w:rsid w:val="4FBC4FC0"/>
    <w:rsid w:val="4FD45AD6"/>
    <w:rsid w:val="50D815D3"/>
    <w:rsid w:val="53F43BFB"/>
    <w:rsid w:val="540B2070"/>
    <w:rsid w:val="55B73773"/>
    <w:rsid w:val="578A1EDB"/>
    <w:rsid w:val="59EF3E46"/>
    <w:rsid w:val="5ABD0A3A"/>
    <w:rsid w:val="5D2E274B"/>
    <w:rsid w:val="5D6C2B70"/>
    <w:rsid w:val="60206431"/>
    <w:rsid w:val="60631354"/>
    <w:rsid w:val="629021A7"/>
    <w:rsid w:val="65A26748"/>
    <w:rsid w:val="65B33843"/>
    <w:rsid w:val="68807384"/>
    <w:rsid w:val="6A4C10E9"/>
    <w:rsid w:val="6B520DF5"/>
    <w:rsid w:val="6C7000D9"/>
    <w:rsid w:val="6E1775DC"/>
    <w:rsid w:val="6E84580C"/>
    <w:rsid w:val="74947381"/>
    <w:rsid w:val="78F33BF7"/>
    <w:rsid w:val="790F08CC"/>
    <w:rsid w:val="7A9D6230"/>
    <w:rsid w:val="7C7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739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739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5739D8"/>
    <w:pPr>
      <w:ind w:firstLineChars="200" w:firstLine="420"/>
    </w:pPr>
  </w:style>
  <w:style w:type="paragraph" w:styleId="a4">
    <w:name w:val="Normal (Web)"/>
    <w:basedOn w:val="a"/>
    <w:qFormat/>
    <w:rsid w:val="005739D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5739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39D8"/>
    <w:pPr>
      <w:ind w:firstLineChars="200" w:firstLine="420"/>
    </w:pPr>
  </w:style>
  <w:style w:type="paragraph" w:customStyle="1" w:styleId="a7">
    <w:name w:val="正文常用"/>
    <w:basedOn w:val="a"/>
    <w:qFormat/>
    <w:rsid w:val="005739D8"/>
    <w:pPr>
      <w:widowControl/>
      <w:spacing w:line="360" w:lineRule="auto"/>
      <w:ind w:firstLine="420"/>
      <w:jc w:val="left"/>
    </w:pPr>
    <w:rPr>
      <w:rFonts w:ascii="宋体" w:eastAsia="宋体" w:hAnsi="宋体" w:cs="黑体"/>
      <w:color w:val="000000"/>
      <w:sz w:val="24"/>
      <w:szCs w:val="21"/>
    </w:rPr>
  </w:style>
  <w:style w:type="paragraph" w:styleId="a8">
    <w:name w:val="header"/>
    <w:basedOn w:val="a"/>
    <w:link w:val="Char"/>
    <w:rsid w:val="005C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5C12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5C1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5C12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5529</Characters>
  <Application>Microsoft Office Word</Application>
  <DocSecurity>0</DocSecurity>
  <Lines>46</Lines>
  <Paragraphs>12</Paragraphs>
  <ScaleCrop>false</ScaleCrop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</dc:creator>
  <cp:lastModifiedBy>wym</cp:lastModifiedBy>
  <cp:revision>5</cp:revision>
  <dcterms:created xsi:type="dcterms:W3CDTF">2020-09-27T02:55:00Z</dcterms:created>
  <dcterms:modified xsi:type="dcterms:W3CDTF">2021-11-02T02:14:00Z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1CC97DF71ABE4A7EA6FE3FEDE8E912E1</vt:lpwstr>
  </property>
</Properties>
</file>